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Na podlagi 24. člena Zakona o kmetijstvu – UPB (Uradni list RS, št. 45/08, 57/12, 90/12-ZdZPVHVVR, 26/14, 32/15, 27/17 in 22/18, 86/21 – </w:t>
      </w:r>
      <w:proofErr w:type="spellStart"/>
      <w:r>
        <w:rPr>
          <w:sz w:val="22"/>
          <w:szCs w:val="22"/>
        </w:rPr>
        <w:t>odl</w:t>
      </w:r>
      <w:proofErr w:type="spellEnd"/>
      <w:r>
        <w:rPr>
          <w:sz w:val="22"/>
          <w:szCs w:val="22"/>
        </w:rPr>
        <w:t>. US, 123/21, 44/22, 130/22 – ZPOmK-2, 18/23 in 78/23), Odloka o proračunu Občine Vitanje za leto 2026 (Uradno glasilo slovenskih občin št. 73/2024) in Pravilnika o ohranjanju in spodbujanju razvoja kmetijstva in podeželja v Občini Vitanje (UGSO, št. 55/2024) Občina Vitanje objavlja:</w:t>
      </w:r>
    </w:p>
    <w:p>
      <w:pPr>
        <w:pStyle w:val="RN"/>
        <w:widowControl w:val="0"/>
        <w:suppressLineNumbers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Javni razpis za sofinanciranje ukrepov za ohranjanje in spodbujanje razvoja kmetijstva in podeželja v občini Vitanje v letu 2026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1. PREDMET JAVNEGA RAZPISA IN RAZPISANA SREDSTVA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Predmet javnega razpisa je dodelitev nepovratnih finančnih sredstev za sofinanciranje ukrepov za ohranjanje in spodbujanje razvoja kmetijstva in podeželja v občini Vitanje v letu 2026, in sicer po shemi državnih pomoči v kmetijstvu, skladno z Uredbo Komisije (EU) št. 2022/2472, ter po shemi pomoči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, v skladu z Uredbo Komisije (EU) st. 2023/2831. </w:t>
      </w:r>
    </w:p>
    <w:p>
      <w:pPr>
        <w:pStyle w:val="RT"/>
        <w:widowControl w:val="0"/>
        <w:suppressLineNumbers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V proračunu Občine Vitanje so za sofinanciranje ukrepov za ohranjanje in spodbujanje razvoja kmetijstva in podeželja v občini Vitanje v letu 2026 zagotovljena skupna sredstva v višini do 23.000,00 EUR; za Ukrep 1: Pomoč za naložbe v kmetijska gospodarstva, povezane s primarno kmetijsko proizvodnjo in za Ukrep 2: Pomoč za naložbe v predelavo in trženje kmetijskih in živilskih proizvodov ter naložbe v nekmetijsko dejavnost na kmetiji – de </w:t>
      </w:r>
      <w:proofErr w:type="spellStart"/>
      <w:r>
        <w:rPr>
          <w:bCs/>
          <w:sz w:val="22"/>
          <w:szCs w:val="22"/>
        </w:rPr>
        <w:t>minimis</w:t>
      </w:r>
      <w:proofErr w:type="spellEnd"/>
      <w:r>
        <w:rPr>
          <w:bCs/>
          <w:sz w:val="22"/>
          <w:szCs w:val="22"/>
        </w:rPr>
        <w:t xml:space="preserve"> (največ 2.000,00 EUR).</w:t>
      </w:r>
    </w:p>
    <w:p>
      <w:pPr>
        <w:pStyle w:val="RT"/>
        <w:widowControl w:val="0"/>
        <w:suppressLineNumbers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V proračunu so za sofinanciranje dejavnosti društev s področja kmetijstva, gozdarstva in razvoja podeželja (Ukrep 3) zagotovljena sredstva v višini 1.200,00 EUR. 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2. UKREPI IN PODUKREPI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UKREP 1: Pomoč za naložbe v kmetijska gospodarstva, povezana s primarno kmetijsko proizvodnjo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Za ukrepe po Uredbi komisije (EU) št 2022/2472 se pomoč lahko dodeli, če ima ta spodbujevalni učinek. Pomoč se šteje za takšno, kadar je vloga za pomoč predložena pred začetkom izvajanja projekta ali dejavnosti.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Z naložbo se skuša doseči vsaj enega od naslednjih ciljev: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izboljšanje splošne učinkovitosti in trajnosti kmetijskega gospodarstva, zlasti z zmanjšanjem stroškov proizvodnje ali z izboljšanjem in preusmeritvijo proizvodnje;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izboljšanje naravnega okolja, higienskih pogojev ali standardov za dobrobit živali;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vzpostavljanje in izboljšanje infrastrukture, povezane z razvojem, prilagajanjem in modernizacijo kmetijstva, vključno z dostopom do kmetijskih zemljišč, komasacijo in izboljšanjem zemljišč, energijsko učinkovitostjo, oskrbo s trajnostno energijo ter varčevanjem z energijo in vodo.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Pomoč se NE dodeli za: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nakup plačilnih pravic,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nakup in zasaditev letnih rastlin,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nakup živali,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ožičenje ali polaganje kablov za podatkovna omrežja zunaj zasebne lastnine,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naložbe v namakanje,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dela v zvezi z odvodnjavanjem,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naložbe v proizvodnjo </w:t>
      </w:r>
      <w:proofErr w:type="spellStart"/>
      <w:r>
        <w:rPr>
          <w:sz w:val="22"/>
          <w:szCs w:val="22"/>
        </w:rPr>
        <w:t>biogoriv</w:t>
      </w:r>
      <w:proofErr w:type="spellEnd"/>
      <w:r>
        <w:rPr>
          <w:sz w:val="22"/>
          <w:szCs w:val="22"/>
        </w:rPr>
        <w:t>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naložbe v proizvodnjo energije iz obnovljivih virov,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že izvedena dela, razen za izdelavo projektne dokumentacije,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naložbe, ki se izvajajo izven območja občine,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stroške, povezane z zakupnimi pogodbami,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obratna sredstva.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Pomoč za naložbe v kmetijska gospodarstva za primarno proizvodnjo se lahko dodeli za: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Podukrep</w:t>
      </w:r>
      <w:proofErr w:type="spellEnd"/>
      <w:r>
        <w:rPr>
          <w:sz w:val="22"/>
          <w:szCs w:val="22"/>
        </w:rPr>
        <w:t xml:space="preserve"> 1.1 Posodabljanje kmetijskih gospodarstev;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Podukrep</w:t>
      </w:r>
      <w:proofErr w:type="spellEnd"/>
      <w:r>
        <w:rPr>
          <w:sz w:val="22"/>
          <w:szCs w:val="22"/>
        </w:rPr>
        <w:t xml:space="preserve"> 1.2 Urejanje kmetijskih zemljišč in pašnikov.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Podukrep</w:t>
      </w:r>
      <w:proofErr w:type="spellEnd"/>
      <w:r>
        <w:rPr>
          <w:b/>
          <w:sz w:val="22"/>
          <w:szCs w:val="22"/>
        </w:rPr>
        <w:t xml:space="preserve"> 1.1 Posodabljanje kmetijskih gospodarstev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Pomoč se lahko dodeli za naložbe v kmetijska gospodarstva v povezavi s primarno kmetijsko proizvodnjo.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Upravičeni stroški: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 gradnje, nakupa ali izboljšanja nepremičnin na kmetijskem gospodarstvu, ki služijo primarni kmetijski proizvodnji (stroški materiala in storitev), pri čemer je nakup zemljišč upravičen le v obsegu, ki ne presega 10 % skupnih upravičenih stroškov gradnje oziroma izboljšanja objekta;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 nakupa ali zakupa nove kmetijske mehanizacije in opreme;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 nakupa rastlinjaka, montaže ter opreme v rastlinjaku;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 nakupa in postavitev zaščite pred neugodnimi vremenskimi razmerami (na primer protitočne mreže);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 nakupa opreme za ograditev in pregraditev pašnikov z ograjo;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stroški nakupa opreme za ureditev napajališč za živino;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pristojbine za pridobitev, razvoj ali uporabo računalniške programske opreme, računalniškega oblaka in podobnih rešitev ter pridobitev patentov, licenc, avtorskih pravic in blagovnih znamk.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Upravičenci do pomoči so kmetijska gospodarstva, ki so </w:t>
      </w:r>
      <w:proofErr w:type="spellStart"/>
      <w:r>
        <w:rPr>
          <w:sz w:val="22"/>
          <w:szCs w:val="22"/>
        </w:rPr>
        <w:t>mikropodjetja</w:t>
      </w:r>
      <w:proofErr w:type="spellEnd"/>
      <w:r>
        <w:rPr>
          <w:sz w:val="22"/>
          <w:szCs w:val="22"/>
        </w:rPr>
        <w:t>, dejavna v primarni kmetijski proizvodnji, vpisana v register kmetijskih gospodarstev, in imajo več kot polovico kmetijskih zemljišč, ki so v njihovi lasti ali zakupu na območju občine, vendar najmanj 1 hektar primerljivih kmetijskih površin v uporabi.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Pogoji za pridobitev: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izdano ustrezno dovoljenje za izvedbo investicije, če je s predpisi s področja gradnje objektov to potrebno;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za naložbo, v zvezi s katero mora biti opravljena presoja vplivov na okolje v skladu s predpisi o posegih v okolje, mora biti navedena presoja opravljena še pred datumom dodelitve individualne pomoči in pridobljeno soglasje za zadevni naložbeni projekt;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projektna dokumentacija za izvedbo naložbe;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lastRenderedPageBreak/>
        <w:t>- ponudbe oziroma predračuni za načrtovano naložbo;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zbirna vloga (</w:t>
      </w:r>
      <w:proofErr w:type="spellStart"/>
      <w:r>
        <w:rPr>
          <w:sz w:val="22"/>
          <w:szCs w:val="22"/>
        </w:rPr>
        <w:t>subvencijska</w:t>
      </w:r>
      <w:proofErr w:type="spellEnd"/>
      <w:r>
        <w:rPr>
          <w:sz w:val="22"/>
          <w:szCs w:val="22"/>
        </w:rPr>
        <w:t xml:space="preserve"> vloga) v tekočem oziroma preteklem letu, če rok za oddajo zbirne vloge v tekočem letu še ni potekel;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drugi pogoji, opredeljeni v javnem razpisu z razpisno dokumentacijo.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Intenzivnost pomoči: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do 50 % upravičenih stroškov naložb na kmetijskih gospodarstvih.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Najvišji skupni znesek dodeljene pomoči ne sme presegati 3.500 EUR na kmetijsko gospodarstvo po posameznem javnem razpisu.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Vlogo za pomoč v okviru tega ukrepa predloži nosilec kmetijskega gospodarstva ali drug polnoletni član kmetijskega gospodarstva z overjenim soglasjem nosilca. Vlogo lahko predloži tudi pooblaščena oseba, ki jo pooblastijo vsi nosilci kmetijskih gospodarstev, ki so vključeni v skupno naložbo.</w:t>
      </w:r>
    </w:p>
    <w:p>
      <w:pPr>
        <w:pStyle w:val="RT"/>
        <w:widowControl w:val="0"/>
        <w:suppressLineNumbers/>
        <w:rPr>
          <w:sz w:val="22"/>
          <w:szCs w:val="22"/>
        </w:rPr>
      </w:pPr>
    </w:p>
    <w:p>
      <w:pPr>
        <w:pStyle w:val="RT"/>
        <w:widowControl w:val="0"/>
        <w:suppressLineNumbers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Podukrep</w:t>
      </w:r>
      <w:proofErr w:type="spellEnd"/>
      <w:r>
        <w:rPr>
          <w:b/>
          <w:sz w:val="22"/>
          <w:szCs w:val="22"/>
        </w:rPr>
        <w:t xml:space="preserve"> 1. 2 Urejanje kmetijskih zemljišč in pašnikov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Pomoč se lahko dodeli za namen urejanja kmetijskih zemljišč in pašnikov.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Upravičeni stroški: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 izdelave načrta ureditve kmetijskega zemljišča (nezahtevne agromelioracije, pašniki);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 izvedbe del za nezahtevne agromelioracije;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 urejanja kmetijskih zemljišč in pašnikov;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 izvedbe del za preprečevanje plazenja in sanacijo plazov na kmetijskih zemljiščih.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Upravičenci do pomoči: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Upravičenci do pomoči so kmetijska gospodarstva, ki so </w:t>
      </w:r>
      <w:proofErr w:type="spellStart"/>
      <w:r>
        <w:rPr>
          <w:sz w:val="22"/>
          <w:szCs w:val="22"/>
        </w:rPr>
        <w:t>mikropodjetja</w:t>
      </w:r>
      <w:proofErr w:type="spellEnd"/>
      <w:r>
        <w:rPr>
          <w:sz w:val="22"/>
          <w:szCs w:val="22"/>
        </w:rPr>
        <w:t>, dejavna v primarni kmetijski proizvodnji, vpisana v register kmetijskih gospodarstev, in imajo več kot polovico kmetijskih zemljišč, ki so v njihovi lasti ali zakupu na območju občine, vendar najmanj 1 hektar primerljivih kmetijskih površin v uporabi.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Pogoji za pridobitev: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ustrezna dovoljenja oziroma projektna dokumentacija za izvedbo naložbe ter dokazila o teh stroških, kadar so upravičeni do sofinanciranja;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predračun stroškov, za katere se uveljavlja pomoč;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račun oziroma dokazila o plačilu stroškov za projektno dokumentacijo, za katere se uveljavlja pomoč;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kopija katastrskega načrta in program del, ki ga pripravi pristojna strokovna služba, kadar je predmet podpore ureditev kmetijskih zemljišč, nezahtevna agromelioracija ali preprečevanje plazenja in sanacija plazov;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dovoljenje lastnika zemljišča za izvedbo naložbe v primeru zakupa zemljišča;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zbirna vloga (</w:t>
      </w:r>
      <w:proofErr w:type="spellStart"/>
      <w:r>
        <w:rPr>
          <w:sz w:val="22"/>
          <w:szCs w:val="22"/>
        </w:rPr>
        <w:t>subvencijska</w:t>
      </w:r>
      <w:proofErr w:type="spellEnd"/>
      <w:r>
        <w:rPr>
          <w:sz w:val="22"/>
          <w:szCs w:val="22"/>
        </w:rPr>
        <w:t xml:space="preserve"> vloga) v tekočem oziroma preteklem letu, če rok za oddajo zbirne vloge v tekočem letu še ni potekel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drugi pogoji, opredeljeni z javnim razpisom in razpisno dokumentacijo.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Intenzivnost pomoči: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do 50 % upravičenih stroškov naložb na kmetijskih gospodarstvih.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najvišji skupni znesek dodeljene pomoči ne sme presegati 3.500 EUR na kmetijsko gospodarstvo po posameznem javnem razpisu.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Vlogo za pomoč v okviru tega ukrepa predloži nosilec kmetijskega gospodarstva ali drug polnoletni član kmetijskega gospodarstva z overjenim soglasjem nosilca. Vlogo lahko predloži tudi pooblaščena oseba, ki jo pooblastijo vsi nosilci kmetijskih gospodarstev, ki so vključeni v skupno naložbo.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UKREP 2: Pomoč za naložbe v predelavo in trženje kmetijskih in živilskih proizvodov ter naložbe v nekmetijsko dejavnost na kmetiji - de </w:t>
      </w:r>
      <w:proofErr w:type="spellStart"/>
      <w:r>
        <w:rPr>
          <w:b/>
          <w:sz w:val="22"/>
          <w:szCs w:val="22"/>
        </w:rPr>
        <w:t>minimis</w:t>
      </w:r>
      <w:proofErr w:type="spellEnd"/>
    </w:p>
    <w:p>
      <w:pPr>
        <w:pStyle w:val="RT"/>
        <w:widowControl w:val="0"/>
        <w:suppressLineNumbers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Višina razpisanih sredstev znaša največ 2.000,00 EUR.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Cilj pomoči je diverzifikacija dejavnosti na kmetijskih gospodarstvih v predelavo in trženje kmetijskih in živilskih proizvodov ter širjenje nekmetijskih dejavnosti na kmetijskih gospodarstvih.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Do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 pomoči,  v skladu z Uredbo Komisije (EU) št. 2023/2831, niso upravičeni subjekti, določeni v 15. členu pravilnika. Upošteva se kumulacija po 16. členu pravilnika ter obveznosti prejemnika do pomoči in Občine, skladno z 18. členom pravilnika.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Skupaj dodeljene pomoči vseh upravičenih vlog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 ne smejo presegati 2.000,00 EUR.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Pomoč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 se lahko, v primeru ene ali več prejetih vlog, dodeli v sorazmernem deležu glede na vloge iz Ukrepa 1, in sicer glede na razpisano vrednost obeh Ukrepov – 1 in 2. </w:t>
      </w:r>
    </w:p>
    <w:p>
      <w:pPr>
        <w:pStyle w:val="RT"/>
        <w:widowControl w:val="0"/>
        <w:suppressLineNumbers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Pogoji za pridobitev sredstev: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dokazila o registraciji dopolnilne dejavnosti na kmetiji in izpolnjevanju pogojev za opravljanje dejavnosti. V kolikor upravičenec še nima registrirane dejavnosti, jo mora registrirati v enem letu od prejema pomoči;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dejavnost se mora na kmetiji izvajati vsaj še 5 let po zaključeni naložbi;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predložitev ustreznega dovoljenja za izvedbo investicije, če je s predpisi s področja gradnje objektov to potrebno;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projektno dokumentacijo za izvedbo naložbe ter dokazila o teh stroških, kadar so upravičeni do sofinanciranja;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poslovni načrt za izvedbo naložbe s predračunom stroškov, kadar skupna vrednost naložbe presega 50.000 EUR;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drugi pogoji, opredeljeni z javnim razpisom in razpisno dokumentacijo.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Upravičeni stroški: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 izdelave projektne dokumentacije za naložbo v predelavo in trženje kmetijskih in živilskih proizvodov, ter naložbe v nekmetijske dejavnosti na kmetiji;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 gradnje ali obnove objekta za dejavnosti predelave in trženja kmetijskih proizvodov ter nekmetijske dejavnosti na kmetiji;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lastRenderedPageBreak/>
        <w:t>- stroški nakupa opreme in naprav za dejavnosti predelave in trženja na kmetijah ter nekmetijske dejavnosti.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Prejemnik mora k vlogi predložiti: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pisno izjavo o vseh drugih pomočeh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, ki jih je upravičenec oziroma enotno podjetje prejelo na podlagi te ali drugih uredb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 v obdobju zadnjih treh let;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pisno izjavo o drugih že prejetih (ali zaprošenih) pomočeh za iste upravičene stroške in zagotovil, da z dodeljenim zneskom pomoči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, ne bo presežena zgornja meja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 pomoči ter intenzivnosti pomoči po drugih predpisih;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seznam podjetij, s katerimi je lastniško povezan, tako da se preveri skupen znesek že prejetih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 pomoči za vsa, z njim povezana podjetja;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izjavo o ločitvi dejavnosti oziroma stroškov, vezano na določilo sedmega odstavka 15. člena tega pravilnika.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Intenzivnost pomoči: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do največ 50% upravičenih stroškov.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Skupni znesek za posamezno naložbo lahko znaša največ 3.500 EUR po posameznem javnem razpisu.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Ne glede na določilo iz prejšnje alineje se pomoč ustrezno zniža, če bi z odobreno pomočjo presegli skupni znesek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 pomoči.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UKREP 3: Sofinanciranje dejavnosti društev s področja kmetijstva, gozdarstva in razvoja podeželja - ostali ukrepi</w:t>
      </w:r>
    </w:p>
    <w:p>
      <w:pPr>
        <w:pStyle w:val="RT"/>
        <w:widowControl w:val="0"/>
        <w:suppressLineNumbers/>
        <w:rPr>
          <w:bCs/>
          <w:sz w:val="22"/>
          <w:szCs w:val="22"/>
        </w:rPr>
      </w:pPr>
      <w:r>
        <w:rPr>
          <w:bCs/>
          <w:sz w:val="22"/>
          <w:szCs w:val="22"/>
        </w:rPr>
        <w:t>Višina razpisanih sredstev znaša 1.200,00 EUR.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Namen ukrepa je sofinanciranje stroškov društev in združenj s področja kmetijstva, gozdarstva in razvoja podeželja z namenom večanja prepoznavnosti društva v lokalnem pomenu ali širše.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Cilj ukrepa je omogočanje izvedbe programov dela navedenih društev oz. združenj.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Upravičeni stroški: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stroški, povezani s predstavijo oziroma promocijo dejavnosti, pomembno za razvoj kmetijstva, gozdarstva in razvoja podeželja, kot so: splošna predavanja, tečaji brez pridobitve certifikata, krožki, strokovne ekskurzije, seminarji, udeležbe na posvetih, okrogle mize ipd., ki so namenjeni splošni javnosti;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stroški, povezani z organizacijo in izvedbo različnih aktivnosti, ki prispevajo k prepoznavnosti občine, kot so: priprava gradiv, zloženk, objave v medijih, organizacija samostojnih prireditev ipd., brez informacij o proizvodih, proizvajalcih proizvodov, blagovnih znamkah ali shemah kakovosti, z namenom njihovih promocij;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stroški, povezani z organizacijo in izvedbo različnih aktivnosti, ki izhajajo iz ohranjanja kulturne in tehnične dediščine kmetijstva, gozdarstva in podeželja: prikazi tradicionalnih domačih obrti in običajev, prikazi tehnične dediščine, razstave, tekmovanja ipd.;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stroški, povezani s sodelovanjem in predstavitvijo na prireditvah lokalnega, regionalnega, državnega ali mednarodnega pomena ter na prireditvah drugih društev in organizacij;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materialni stroški, povezani z izvedbo programov.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Pogoji za pridobitev pomoči: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Upravičenci predložijo naslednjo dokumentacijo: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finančno in vsebinsko ovrednoten letni program dela društva oz. združenja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seznam članov.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Pomoč se NE dodeli: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za prijavljeni program, za katerega so že bila pridobljena sredstva na drugih razpisih Občine Vitanje,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za dejavnost društva oz. združenja, ki je pridobitnega značaja.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Upravičenci do pomoči so: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društva in združenja, ki so registrirana po zakonu o društvih, katerih dejavnost je s področja  kmetijstva, gozdarstva in razvoja podeželja in imajo urejeno evidenco o članstvu,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delujejo na območju občine oziroma združujejo člane iz občine,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izpolnjujejo pogoje in merila javnega razpisa in k prijavi za razpis priložijo vso zahtevano dokumentacijo,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izvajajo in se vključujejo v aktivnosti na območju občine in o tem vodijo evidenco.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Intenzivnost pomoči: do 100% upravičenih stroškov.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Znesek dodeljene pomoči se določi na podlagi doseženih točk razpoložljivih sredstev in števila prispelih vlog. Točkuje strokovna komisija glede na prepoznavnost dogodka/projekta, skladno z interesom Občine in za sodelovanje. </w:t>
      </w:r>
    </w:p>
    <w:p>
      <w:pPr>
        <w:pStyle w:val="RT"/>
        <w:widowControl w:val="0"/>
        <w:suppressLineNumbers/>
        <w:rPr>
          <w:sz w:val="22"/>
          <w:szCs w:val="22"/>
        </w:rPr>
      </w:pP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Merila za izbor prijav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Število članov društva ali združenja; </w:t>
            </w:r>
          </w:p>
        </w:tc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</w:p>
        </w:tc>
      </w:tr>
      <w:tr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 vključno 10 članov </w:t>
            </w:r>
          </w:p>
        </w:tc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točk</w:t>
            </w:r>
          </w:p>
        </w:tc>
      </w:tr>
      <w:tr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 11 do vključno 40 članov</w:t>
            </w:r>
          </w:p>
        </w:tc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točk</w:t>
            </w:r>
          </w:p>
        </w:tc>
      </w:tr>
      <w:tr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nad 41 članov</w:t>
            </w:r>
          </w:p>
        </w:tc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točk</w:t>
            </w:r>
          </w:p>
        </w:tc>
      </w:tr>
      <w:tr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Sedež društva/združenja;</w:t>
            </w:r>
          </w:p>
        </w:tc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</w:p>
        </w:tc>
      </w:tr>
      <w:tr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sedež v občini Vitanje</w:t>
            </w:r>
          </w:p>
        </w:tc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točk</w:t>
            </w:r>
          </w:p>
        </w:tc>
      </w:tr>
      <w:tr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sedež v drugi občini (člani iz občine Vitanje vsaj 3)</w:t>
            </w:r>
          </w:p>
        </w:tc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točk</w:t>
            </w:r>
          </w:p>
        </w:tc>
      </w:tr>
      <w:tr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Promocija, sodelovanje in tradicionalnost </w:t>
            </w:r>
          </w:p>
        </w:tc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</w:p>
        </w:tc>
      </w:tr>
      <w:tr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Prireditve oz. projekti, ki prispevajo k promociji oz. prepoznavnosti občine</w:t>
            </w:r>
          </w:p>
        </w:tc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10 točk</w:t>
            </w:r>
          </w:p>
        </w:tc>
      </w:tr>
      <w:tr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Sodelovanje z Občino Vitanje ali z drugimi organizacijami v občini Vitanje </w:t>
            </w:r>
          </w:p>
        </w:tc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5 točk</w:t>
            </w:r>
          </w:p>
        </w:tc>
      </w:tr>
      <w:tr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Letno izvedena prireditev oz. projekt</w:t>
            </w:r>
          </w:p>
        </w:tc>
        <w:tc>
          <w:tcPr>
            <w:tcW w:w="4531" w:type="dxa"/>
          </w:tcPr>
          <w:p>
            <w:pPr>
              <w:pStyle w:val="RT"/>
              <w:widowControl w:val="0"/>
              <w:suppressLineNumber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5 točk</w:t>
            </w:r>
          </w:p>
        </w:tc>
      </w:tr>
    </w:tbl>
    <w:p>
      <w:pPr>
        <w:pStyle w:val="RT"/>
        <w:widowControl w:val="0"/>
        <w:suppressLineNumbers/>
        <w:rPr>
          <w:sz w:val="22"/>
          <w:szCs w:val="22"/>
        </w:rPr>
      </w:pP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3. POGOJI ZA 1. in 2. UKREP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Upravičenci do pomoči so kmetijska gospodarstva, ki izpolnjujejo pogoje o upravičencih po pravilniku.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Do pomoči po pravilniku, v skladu z Uredbo Komisije (EU) št. 2022/2472, niso upravičeni subjekti, ki: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so naslovniki neporavnanega naloga za izterjavo na podlagi predhodnega sklepa Evropske komisije, s katerim je pomoč, ki jo je dodelil organ iz Republike Slovenije, razglasila za nezakonito in nezdružljivo z notranjim trgom;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nimajo poravnanih zapadlih obveznosti do občine ali do države;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so podjetja v težavah.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Pomoč se NE dodeli: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za dejavnosti, povezane z izvozom v tretje države ali države članice, in sicer, če je pomoč neposredno povezana z izvoženimi količinami, vzpostavitvijo in delovanjem distribucijske mreže ali drugimi tekočimi stroški, povezanimi z izvozno dejavnostjo;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če je odvisna od prednostne uporabe domačega blaga pred uporabo uvoženega blaga.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Pomoč se NE dodeli za davek na dodano vrednost. Investicija mora biti zaključena pred izplačilom sredstev. Naložbe v ukrepe po tem pravilniku, ki so nastali po prejemu odločbe in podpisu pogodbe, morajo biti zaključene do vključno 30. septembra 2026.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Za eno kmetijsko gospodarstvo in/ali enega nosilca kmetijskega gospodarstva se od vrednosti vseh naložb brez DDV kot upravičen strošek upošteva največ 7.000 EUR.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sz w:val="22"/>
          <w:szCs w:val="22"/>
        </w:rPr>
        <w:t xml:space="preserve">Sofinancirale se bodo naložbe vlagatelja, katerih vrednost brez DDV bo znašala najmanj 500,00 EUR. Sofinancirajo se lahko samo nove naložbe. 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4. SPLOŠNI POGOJI ZA DODELITEV SREDSTEV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Vloga bo od dneva te objave javno dostopna v času uradnih ur v sprejemni pisarni Občine Vitanje ali na spletni strani Občine Vitanje: www.vitanje.si.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Predložiti je potrebno vso zahtevano dokumentacijo in zahtevane izjave.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b/>
          <w:sz w:val="22"/>
          <w:szCs w:val="22"/>
        </w:rPr>
        <w:t>Rok za prijavo na javni razpis je 20. april 2026, do 12.00</w:t>
      </w:r>
      <w:r>
        <w:rPr>
          <w:sz w:val="22"/>
          <w:szCs w:val="22"/>
        </w:rPr>
        <w:t>. Za pravočasno predložene se štejejo prijave, ki bodo najkasneje 20. aprila 2026, do 12.00 predložene v tajništvu Občine Vitanje, Grajski trg 1, 3205 Vitanje, v zaprtih kuvertah z napisi za: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Ukrep 1; »NE ODPIRAJ - RAZPIS KMETIJSTVO 2026 – PRIMARNA PROIZVODNJA« ali,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Ukrep 2; »NE ODPIRAJ - RAZPIS KMETIJSTVO 2026 – DE MINIMIS« ali,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Ukrep 3; »NE ODPIRAJ - RAZPIS KMETIJSTVO 2026 – DRUŠTVA«.</w:t>
      </w:r>
    </w:p>
    <w:p>
      <w:pPr>
        <w:pStyle w:val="RT"/>
        <w:widowControl w:val="0"/>
        <w:suppressLineNumbers/>
        <w:rPr>
          <w:sz w:val="22"/>
          <w:szCs w:val="22"/>
        </w:rPr>
      </w:pP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Nepravočasno dodane prijave ne bodo obravnavane in bodo s sklepom zavržene. Komisija bo vloge odprla in pregledala najkasneje v osmih dneh od izteka roka za dostavo vlog.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Rok za oddajo zahtevka, ki je eden izmed pogojev za izplačilo odobrenih sredstev, je do 30. septembra 2026.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Vlagatelji bodo o izidu javnega razpisa obveščeni najkasneje v roku 15 dni od potrditve predlogov upravičencev.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OBRAVNAVANJE VLOG IN IZPLAČILA SREDSTEV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Župan Občine Vitanje imenuje komisijo, ki bo prispele vloge obravnavala ter odločila o posamezni vlogi. O dodelitvi sredstev upravičencem odloča pooblaščena uradna oseba na predlog strokovne komisije. Upravičencem bo izdana odločba v višini odobrenih sredstev za posamezen ukrep. Odpiranje vlog ne bo javno.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Zoper odločitev iz prejšnjega odstavka lahko upravičenec vloži pritožbo županu v roku 8 dni od prejema odločbe. Odločitev župana je dokončna. Medsebojne obveznosti med Občino in prejemnikom pomoči se uredijo s pogodbo. Datum dodelitve pomoči je datum pravnomočnosti odločbe oz. podpis pogodbe.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Z izbranimi kandidati bodo sklenjene pogodbe, kjer bodo navedeni podrobnejši pogoji koriščenja sredstev.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Obravnavane bodo le vloge, ki bodo pravilno izpolnjene in oddane na predpisanih obrazcih z vsemi zahtevanimi dokazili. Nepopolne vloge, ki jih vlagatelj ne bo dopolnil v roku 8 dni, in vloge, ki ne bodo ustrezale pogojem iz tega razpisa, bodo s sklepom zavrnjene in ne bodo obravnavane v postopku dodelitve sredstev.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Upravičencem se sredstva iz proračuna Občine izplačajo na podlagi zahtevka posameznega upravičenca, razen za ukrep št. 3. Zahtevek mora vsebovati naslednjo dokumentacijo: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račun in dokazila o plačilu obveznosti (račun/situacija in potrdilo/dokazilo o plačanem računu).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Zahtevek z zahtevanimi dokazili mora biti na občino dostavljen do vključno 30. septembra 2026. Upravičencem se sredstva iz proračuna nakažejo na transakcijski račun na podlagi prejetega preverjenega zahtevka.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Pogoji za dodelitev sredstev je sprejeti Proračun Občine Vitanje za leto 2026. Sredstva bodo praviloma izplačana v letu 2026.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Strokovna komisija lahko zmanjša delež sofinanciranje pri posameznih ukrepih pri obravnavanju vlog iz naslednjih vzrokov: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zaradi zmanjšanja načrtovanih prihodkov proračuna Občine za leto 2026,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zaradi večjega števila zahtevkov kot je zagotovljenih sredstev v proračunu.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Upravičenec mora hraniti vso dokumentacijo, ki je bila podlaga za odobritev pomoči po tem pravilniku, deset let od datuma prejema pomoči iz tega pravilnika.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Občina mora voditi natančne evidence z informacijami o dodeljenih pomočeh in dokazili o izpolnjevanju pogojev deset let od dneva zadnje dodelitve pomoči po tem pravilniku. </w:t>
      </w:r>
    </w:p>
    <w:p>
      <w:pPr>
        <w:pStyle w:val="RT"/>
        <w:widowControl w:val="0"/>
        <w:suppressLineNumbers/>
        <w:rPr>
          <w:sz w:val="22"/>
          <w:szCs w:val="22"/>
        </w:rPr>
      </w:pP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5. NADZOR IN SANKCIJE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Namensko porabo proračunskih sredstev za ohranjanje in razvoj kmetijstva in podeželja v občini, pridobljenih po tem pravilniku oziroma javnem razpisu spremlja občinska uprava, oziroma s strani župana pooblaščena oseba. Namenskost porabe ugotavlja tudi nadzorni odbor Občine.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V primeru ugotovljene nenamenske porabe sredstev mora prejemnik vrniti odobrena sredstva v celoti in s pripadajočimi zakonitimi zamudnimi obrestmi, obračunana od dneva nakazila prejemniku, če se ugotovi: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da sredstva delno ali v celoti niso bila porabljena za namen, za katerega so bila dodeljena;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da upravičenec projekta ni izvedel;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da je upravičenec za katerikoli namen pridobitve sredstev navajal neresnične podatke;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lastRenderedPageBreak/>
        <w:t>da je upravičenec za iste upravičene stroške in za isti namen že pridobil finančna sredstva iz kateregakoli javnega vira, pa je bila s tem presežena dovoljena zgornja meja pomoči po predpisih. V tem primeru se vrne znesek nad dovoljeno zgornjo mejo pomoči.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Prejemnik, ki ustreza kateremukoli kriteriju iz prejšnjega odstavka, izgubi pravico do pridobitve sredstev po tem pravilniku za naslednji dve leti od vložitve vloge.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V primeru, da upravičenec odobrenih sredstev v pogodbeno določenem roku ne izkoristi, bodisi, da je tega iz neupravičenih razlogov zamudil – razen, če za to obstaja objektivni razlog višje sile – bodisi, da se ugotovi kršenje pravil razpisa, izgubi pravico do pridobitve sredstev po tem pravilniku za naslednjo leto od vložitve vloge.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6. MESTO ODDAJE VLOGE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Prijavni obrazec bo od dneva te objave na voljo v tajništvu Občine Vitanje v času uradnih ur in ves čas na spletni strani Občine Vitanje </w:t>
      </w:r>
      <w:hyperlink r:id="rId8" w:history="1">
        <w:r>
          <w:rPr>
            <w:rStyle w:val="Hiperpovezava"/>
            <w:sz w:val="22"/>
            <w:szCs w:val="22"/>
          </w:rPr>
          <w:t>www.vitanje.si</w:t>
        </w:r>
      </w:hyperlink>
      <w:r>
        <w:rPr>
          <w:sz w:val="22"/>
          <w:szCs w:val="22"/>
        </w:rPr>
        <w:t xml:space="preserve">. Vloge sprejemamo na naslov Občina Vitanje, Grajski trg 1, 3205 Vitanje, v času uradnih ur. 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7. DODATNE INFORMACIJE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Vse dodatne informacije v zvezi z razpisom lahko zainteresirani dobijo v času uradnih ur na telefonski številki 03 757 43 57 (Ivica Žerdoner) in po elektronski pošti </w:t>
      </w:r>
      <w:hyperlink r:id="rId9" w:history="1">
        <w:r>
          <w:rPr>
            <w:rStyle w:val="Hiperpovezava"/>
            <w:sz w:val="22"/>
            <w:szCs w:val="22"/>
          </w:rPr>
          <w:t>ivica.zerdoner@vitanje.si</w:t>
        </w:r>
      </w:hyperlink>
      <w:r>
        <w:rPr>
          <w:sz w:val="22"/>
          <w:szCs w:val="22"/>
        </w:rPr>
        <w:t xml:space="preserve">. </w:t>
      </w:r>
    </w:p>
    <w:p>
      <w:pPr>
        <w:pStyle w:val="A"/>
        <w:widowControl w:val="0"/>
        <w:suppressLineNumbers/>
        <w:rPr>
          <w:sz w:val="22"/>
          <w:szCs w:val="22"/>
        </w:rPr>
      </w:pPr>
    </w:p>
    <w:p>
      <w:pPr>
        <w:pStyle w:val="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Številka: 410-0010/2026-001</w:t>
      </w:r>
    </w:p>
    <w:p>
      <w:pPr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Datum: 2.4.2026</w:t>
      </w:r>
    </w:p>
    <w:p>
      <w:pPr>
        <w:pStyle w:val="A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Andraž Pogorevc, mag., župan Občine Vitanje</w:t>
      </w:r>
    </w:p>
    <w:p>
      <w:pPr>
        <w:pStyle w:val="RT"/>
        <w:widowControl w:val="0"/>
        <w:suppressLineNumbers/>
        <w:rPr>
          <w:sz w:val="22"/>
          <w:szCs w:val="22"/>
        </w:rPr>
      </w:pPr>
      <w:bookmarkStart w:id="0" w:name="_GoBack"/>
      <w:bookmarkEnd w:id="0"/>
    </w:p>
    <w:sectPr>
      <w:pgSz w:w="11906" w:h="16838"/>
      <w:pgMar w:top="850" w:right="850" w:bottom="850" w:left="850" w:header="720" w:footer="720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inless-Regular">
    <w:altName w:val="Courier New"/>
    <w:panose1 w:val="00000000000000000000"/>
    <w:charset w:val="C8"/>
    <w:family w:val="auto"/>
    <w:notTrueType/>
    <w:pitch w:val="variable"/>
    <w:sig w:usb0="00000087" w:usb1="00000000" w:usb2="00000000" w:usb3="00000000" w:csb0="0000000B" w:csb1="00000000"/>
  </w:font>
  <w:font w:name="SL 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D18"/>
    <w:multiLevelType w:val="hybridMultilevel"/>
    <w:tmpl w:val="BE846E46"/>
    <w:lvl w:ilvl="0" w:tplc="293664A6">
      <w:numFmt w:val="bullet"/>
      <w:lvlText w:val="·"/>
      <w:lvlJc w:val="left"/>
      <w:pPr>
        <w:ind w:left="900" w:hanging="54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37C6"/>
    <w:multiLevelType w:val="hybridMultilevel"/>
    <w:tmpl w:val="D08ADB1A"/>
    <w:lvl w:ilvl="0" w:tplc="DA80D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83D25"/>
    <w:multiLevelType w:val="hybridMultilevel"/>
    <w:tmpl w:val="F31299D0"/>
    <w:lvl w:ilvl="0" w:tplc="7C4016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D23F7"/>
    <w:multiLevelType w:val="hybridMultilevel"/>
    <w:tmpl w:val="E4BCC2B4"/>
    <w:lvl w:ilvl="0" w:tplc="DA80D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605DD"/>
    <w:multiLevelType w:val="hybridMultilevel"/>
    <w:tmpl w:val="6002A7F4"/>
    <w:lvl w:ilvl="0" w:tplc="DA80D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91EA0"/>
    <w:multiLevelType w:val="hybridMultilevel"/>
    <w:tmpl w:val="25E6737E"/>
    <w:lvl w:ilvl="0" w:tplc="DA80D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32BB4"/>
    <w:multiLevelType w:val="hybridMultilevel"/>
    <w:tmpl w:val="8F9016B6"/>
    <w:lvl w:ilvl="0" w:tplc="DA80D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A396C"/>
    <w:multiLevelType w:val="hybridMultilevel"/>
    <w:tmpl w:val="42E258C8"/>
    <w:lvl w:ilvl="0" w:tplc="34C8520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1672CB"/>
    <w:multiLevelType w:val="hybridMultilevel"/>
    <w:tmpl w:val="2B665554"/>
    <w:lvl w:ilvl="0" w:tplc="DA80D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40D50"/>
    <w:multiLevelType w:val="hybridMultilevel"/>
    <w:tmpl w:val="E17E2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F645B"/>
    <w:multiLevelType w:val="hybridMultilevel"/>
    <w:tmpl w:val="E4E23A0A"/>
    <w:lvl w:ilvl="0" w:tplc="7C4016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60B1"/>
    <w:multiLevelType w:val="hybridMultilevel"/>
    <w:tmpl w:val="65D63CE2"/>
    <w:lvl w:ilvl="0" w:tplc="DA80D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724EF"/>
    <w:multiLevelType w:val="hybridMultilevel"/>
    <w:tmpl w:val="1E1ECE9A"/>
    <w:lvl w:ilvl="0" w:tplc="7C401682">
      <w:start w:val="4"/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D2DF7"/>
    <w:multiLevelType w:val="hybridMultilevel"/>
    <w:tmpl w:val="DEB687FA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0526F"/>
    <w:multiLevelType w:val="hybridMultilevel"/>
    <w:tmpl w:val="418290DE"/>
    <w:lvl w:ilvl="0" w:tplc="7C4016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C45D9"/>
    <w:multiLevelType w:val="hybridMultilevel"/>
    <w:tmpl w:val="9AF8CC82"/>
    <w:lvl w:ilvl="0" w:tplc="DA80D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614E9"/>
    <w:multiLevelType w:val="hybridMultilevel"/>
    <w:tmpl w:val="4074F8FC"/>
    <w:lvl w:ilvl="0" w:tplc="7C4016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6123EEE">
      <w:numFmt w:val="bullet"/>
      <w:lvlText w:val="·"/>
      <w:lvlJc w:val="left"/>
      <w:pPr>
        <w:ind w:left="1620" w:hanging="54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86C19"/>
    <w:multiLevelType w:val="hybridMultilevel"/>
    <w:tmpl w:val="CBB8113A"/>
    <w:lvl w:ilvl="0" w:tplc="34C8520A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C0DB4"/>
    <w:multiLevelType w:val="hybridMultilevel"/>
    <w:tmpl w:val="D10EB27C"/>
    <w:lvl w:ilvl="0" w:tplc="34C8520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67700"/>
    <w:multiLevelType w:val="hybridMultilevel"/>
    <w:tmpl w:val="383CAA52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83979"/>
    <w:multiLevelType w:val="hybridMultilevel"/>
    <w:tmpl w:val="26D65B7A"/>
    <w:lvl w:ilvl="0" w:tplc="7C4016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F36E42"/>
    <w:multiLevelType w:val="hybridMultilevel"/>
    <w:tmpl w:val="48C03A6A"/>
    <w:lvl w:ilvl="0" w:tplc="DA80D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31797"/>
    <w:multiLevelType w:val="hybridMultilevel"/>
    <w:tmpl w:val="847E803C"/>
    <w:lvl w:ilvl="0" w:tplc="DA80D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4B794A"/>
    <w:multiLevelType w:val="hybridMultilevel"/>
    <w:tmpl w:val="5F780D1C"/>
    <w:lvl w:ilvl="0" w:tplc="9E5CC042">
      <w:numFmt w:val="bullet"/>
      <w:lvlText w:val="·"/>
      <w:lvlJc w:val="left"/>
      <w:pPr>
        <w:ind w:left="900" w:hanging="54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92C41"/>
    <w:multiLevelType w:val="hybridMultilevel"/>
    <w:tmpl w:val="F76A652C"/>
    <w:lvl w:ilvl="0" w:tplc="DA80D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A7D64F08">
      <w:numFmt w:val="bullet"/>
      <w:lvlText w:val="–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71B1"/>
    <w:multiLevelType w:val="hybridMultilevel"/>
    <w:tmpl w:val="3DC8952A"/>
    <w:lvl w:ilvl="0" w:tplc="A2E6DF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897F5E"/>
    <w:multiLevelType w:val="hybridMultilevel"/>
    <w:tmpl w:val="0470B3CA"/>
    <w:lvl w:ilvl="0" w:tplc="7CB0DA94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3"/>
  </w:num>
  <w:num w:numId="4">
    <w:abstractNumId w:val="19"/>
  </w:num>
  <w:num w:numId="5">
    <w:abstractNumId w:val="23"/>
  </w:num>
  <w:num w:numId="6">
    <w:abstractNumId w:val="24"/>
  </w:num>
  <w:num w:numId="7">
    <w:abstractNumId w:val="9"/>
  </w:num>
  <w:num w:numId="8">
    <w:abstractNumId w:val="26"/>
  </w:num>
  <w:num w:numId="9">
    <w:abstractNumId w:val="12"/>
  </w:num>
  <w:num w:numId="10">
    <w:abstractNumId w:val="16"/>
  </w:num>
  <w:num w:numId="11">
    <w:abstractNumId w:val="14"/>
  </w:num>
  <w:num w:numId="12">
    <w:abstractNumId w:val="0"/>
  </w:num>
  <w:num w:numId="13">
    <w:abstractNumId w:val="2"/>
  </w:num>
  <w:num w:numId="14">
    <w:abstractNumId w:val="20"/>
  </w:num>
  <w:num w:numId="15">
    <w:abstractNumId w:val="15"/>
  </w:num>
  <w:num w:numId="16">
    <w:abstractNumId w:val="6"/>
  </w:num>
  <w:num w:numId="17">
    <w:abstractNumId w:val="22"/>
  </w:num>
  <w:num w:numId="18">
    <w:abstractNumId w:val="21"/>
  </w:num>
  <w:num w:numId="19">
    <w:abstractNumId w:val="11"/>
  </w:num>
  <w:num w:numId="20">
    <w:abstractNumId w:val="8"/>
  </w:num>
  <w:num w:numId="21">
    <w:abstractNumId w:val="1"/>
  </w:num>
  <w:num w:numId="22">
    <w:abstractNumId w:val="3"/>
  </w:num>
  <w:num w:numId="23">
    <w:abstractNumId w:val="5"/>
  </w:num>
  <w:num w:numId="24">
    <w:abstractNumId w:val="4"/>
  </w:num>
  <w:num w:numId="25">
    <w:abstractNumId w:val="18"/>
  </w:num>
  <w:num w:numId="26">
    <w:abstractNumId w:val="1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linkStyles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EE6A6-76AC-439D-9656-0A2E3899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slov1">
    <w:name w:val="heading 1"/>
    <w:basedOn w:val="Navaden"/>
    <w:next w:val="Navaden"/>
    <w:link w:val="Naslov1Znak"/>
    <w:pPr>
      <w:keepNext/>
      <w:outlineLvl w:val="0"/>
    </w:pPr>
    <w:rPr>
      <w:b/>
      <w:bCs/>
    </w:rPr>
  </w:style>
  <w:style w:type="paragraph" w:styleId="Naslov4">
    <w:name w:val="heading 4"/>
    <w:basedOn w:val="Navaden"/>
    <w:next w:val="Navaden"/>
    <w:link w:val="Naslov4Znak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nhideWhenUsed/>
    <w:pPr>
      <w:tabs>
        <w:tab w:val="left" w:pos="1418"/>
      </w:tabs>
    </w:pPr>
    <w:rPr>
      <w:sz w:val="22"/>
    </w:rPr>
  </w:style>
  <w:style w:type="character" w:customStyle="1" w:styleId="TelobesedilaZnak">
    <w:name w:val="Telo besedila Znak"/>
    <w:link w:val="Telobesedila"/>
    <w:rPr>
      <w:rFonts w:ascii="Arial" w:eastAsia="Times New Roman" w:hAnsi="Arial" w:cs="Arial"/>
      <w:szCs w:val="24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Hiperpovezava">
    <w:name w:val="Hyperlink"/>
    <w:rPr>
      <w:color w:val="0000FF"/>
      <w:u w:val="single"/>
    </w:rPr>
  </w:style>
  <w:style w:type="character" w:customStyle="1" w:styleId="Bodytext">
    <w:name w:val="Body text_"/>
    <w:basedOn w:val="Privzetapisavaodstavka"/>
    <w:link w:val="Telobesedila5"/>
    <w:locked/>
    <w:rPr>
      <w:rFonts w:ascii="Segoe UI" w:eastAsia="Segoe UI" w:hAnsi="Segoe UI" w:cs="Segoe UI"/>
      <w:sz w:val="14"/>
      <w:szCs w:val="14"/>
      <w:shd w:val="clear" w:color="auto" w:fill="FFFFFF"/>
    </w:rPr>
  </w:style>
  <w:style w:type="paragraph" w:customStyle="1" w:styleId="Telobesedila5">
    <w:name w:val="Telo besedila5"/>
    <w:basedOn w:val="Navaden"/>
    <w:link w:val="Bodytext"/>
    <w:pPr>
      <w:widowControl w:val="0"/>
      <w:shd w:val="clear" w:color="auto" w:fill="FFFFFF"/>
      <w:spacing w:after="300" w:line="178" w:lineRule="exact"/>
      <w:ind w:hanging="360"/>
    </w:pPr>
    <w:rPr>
      <w:rFonts w:ascii="Segoe UI" w:eastAsia="Segoe UI" w:hAnsi="Segoe UI" w:cs="Segoe UI"/>
      <w:sz w:val="14"/>
      <w:szCs w:val="14"/>
    </w:rPr>
  </w:style>
  <w:style w:type="character" w:customStyle="1" w:styleId="Telobesedila1">
    <w:name w:val="Telo besedila1"/>
    <w:basedOn w:val="Bodytext"/>
    <w:rPr>
      <w:rFonts w:ascii="Segoe UI" w:eastAsia="Segoe UI" w:hAnsi="Segoe UI" w:cs="Segoe UI"/>
      <w:color w:val="000000"/>
      <w:spacing w:val="0"/>
      <w:w w:val="100"/>
      <w:position w:val="0"/>
      <w:sz w:val="14"/>
      <w:szCs w:val="14"/>
      <w:shd w:val="clear" w:color="auto" w:fill="FFFFFF"/>
      <w:lang w:val="sl-SI"/>
    </w:rPr>
  </w:style>
  <w:style w:type="character" w:customStyle="1" w:styleId="BodytextItalic">
    <w:name w:val="Body text + Italic"/>
    <w:basedOn w:val="Bodytext"/>
    <w:rPr>
      <w:rFonts w:ascii="Segoe UI" w:eastAsia="Segoe UI" w:hAnsi="Segoe UI" w:cs="Segoe UI"/>
      <w:i/>
      <w:iCs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dytextBold">
    <w:name w:val="Body text + Bold"/>
    <w:basedOn w:val="Bodytext"/>
    <w:rPr>
      <w:rFonts w:ascii="Segoe UI" w:eastAsia="Segoe UI" w:hAnsi="Segoe UI" w:cs="Segoe UI"/>
      <w:b/>
      <w:bCs/>
      <w:color w:val="000000"/>
      <w:spacing w:val="0"/>
      <w:w w:val="100"/>
      <w:position w:val="0"/>
      <w:sz w:val="14"/>
      <w:szCs w:val="14"/>
      <w:shd w:val="clear" w:color="auto" w:fill="FFFFFF"/>
    </w:rPr>
  </w:style>
  <w:style w:type="table" w:styleId="Tabelamrea">
    <w:name w:val="Table Grid"/>
    <w:basedOn w:val="Navadnatabel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link w:val="Naslov4"/>
    <w:semiHidden/>
    <w:rPr>
      <w:rFonts w:ascii="Calibri" w:eastAsia="Times New Roman" w:hAnsi="Calibri" w:cs="Times New Roman"/>
      <w:b/>
      <w:bCs/>
      <w:sz w:val="28"/>
      <w:szCs w:val="28"/>
      <w:lang w:eastAsia="sl-SI"/>
    </w:rPr>
  </w:style>
  <w:style w:type="paragraph" w:customStyle="1" w:styleId="T">
    <w:name w:val="T"/>
    <w:basedOn w:val="Navaden"/>
    <w:next w:val="Navaden"/>
    <w:link w:val="TZnak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Znak">
    <w:name w:val="T Znak"/>
    <w:link w:val="T"/>
    <w:locked/>
    <w:rPr>
      <w:rFonts w:ascii="Arial" w:eastAsia="Times New Roman" w:hAnsi="Arial" w:cs="Arial"/>
      <w:sz w:val="24"/>
      <w:szCs w:val="24"/>
      <w:lang w:eastAsia="sl-SI"/>
    </w:rPr>
  </w:style>
  <w:style w:type="paragraph" w:customStyle="1" w:styleId="A">
    <w:name w:val="A"/>
    <w:basedOn w:val="T"/>
    <w:next w:val="T"/>
    <w:qFormat/>
    <w:rPr>
      <w:b/>
      <w:i/>
      <w:iCs/>
    </w:rPr>
  </w:style>
  <w:style w:type="paragraph" w:customStyle="1" w:styleId="FDS">
    <w:name w:val="FDS"/>
    <w:basedOn w:val="T"/>
    <w:next w:val="Navaden"/>
    <w:rPr>
      <w:b/>
      <w:color w:val="008000"/>
    </w:rPr>
  </w:style>
  <w:style w:type="paragraph" w:customStyle="1" w:styleId="M">
    <w:name w:val="M"/>
    <w:basedOn w:val="Navaden"/>
    <w:next w:val="Navaden"/>
    <w:qFormat/>
    <w:rPr>
      <w:bCs/>
      <w:color w:val="0000FF"/>
    </w:rPr>
  </w:style>
  <w:style w:type="paragraph" w:customStyle="1" w:styleId="Mo">
    <w:name w:val="Mo"/>
    <w:basedOn w:val="Navaden"/>
    <w:next w:val="Navaden"/>
    <w:link w:val="MoZnak1"/>
  </w:style>
  <w:style w:type="paragraph" w:customStyle="1" w:styleId="MR">
    <w:name w:val="MR"/>
    <w:basedOn w:val="Navaden"/>
    <w:next w:val="Navaden"/>
    <w:link w:val="MRZnak"/>
    <w:pPr>
      <w:jc w:val="center"/>
    </w:pPr>
    <w:rPr>
      <w:color w:val="FF00FF"/>
    </w:rPr>
  </w:style>
  <w:style w:type="paragraph" w:customStyle="1" w:styleId="N24">
    <w:name w:val="N24"/>
    <w:basedOn w:val="Navaden"/>
    <w:next w:val="Navaden"/>
    <w:qFormat/>
    <w:rPr>
      <w:bCs/>
      <w:color w:val="FF0000"/>
    </w:rPr>
  </w:style>
  <w:style w:type="paragraph" w:customStyle="1" w:styleId="N28">
    <w:name w:val="N28"/>
    <w:basedOn w:val="Navaden"/>
    <w:next w:val="Navaden"/>
    <w:qFormat/>
    <w:rPr>
      <w:bCs/>
      <w:color w:val="FF0000"/>
    </w:rPr>
  </w:style>
  <w:style w:type="paragraph" w:customStyle="1" w:styleId="N35">
    <w:name w:val="N35"/>
    <w:basedOn w:val="Navaden"/>
    <w:next w:val="Navaden"/>
    <w:rPr>
      <w:bCs/>
      <w:color w:val="FF0000"/>
    </w:rPr>
  </w:style>
  <w:style w:type="paragraph" w:customStyle="1" w:styleId="NN">
    <w:name w:val="NN"/>
    <w:basedOn w:val="T"/>
    <w:next w:val="T"/>
    <w:rPr>
      <w:caps/>
      <w:sz w:val="28"/>
      <w:szCs w:val="28"/>
    </w:rPr>
  </w:style>
  <w:style w:type="paragraph" w:customStyle="1" w:styleId="NO">
    <w:name w:val="NO"/>
    <w:basedOn w:val="Navaden"/>
    <w:next w:val="Navaden"/>
    <w:link w:val="NOZnak"/>
    <w:qFormat/>
    <w:rPr>
      <w:color w:val="C00000"/>
    </w:rPr>
  </w:style>
  <w:style w:type="character" w:customStyle="1" w:styleId="NOZnak">
    <w:name w:val="NO Znak"/>
    <w:link w:val="NO"/>
    <w:rPr>
      <w:rFonts w:ascii="Arial" w:eastAsia="Times New Roman" w:hAnsi="Arial" w:cs="Arial"/>
      <w:color w:val="C00000"/>
      <w:sz w:val="24"/>
      <w:szCs w:val="24"/>
      <w:lang w:eastAsia="sl-SI"/>
    </w:rPr>
  </w:style>
  <w:style w:type="paragraph" w:customStyle="1" w:styleId="O">
    <w:name w:val="O"/>
    <w:basedOn w:val="Navaden"/>
    <w:next w:val="Navaden"/>
    <w:link w:val="OZnak"/>
    <w:qFormat/>
  </w:style>
  <w:style w:type="character" w:customStyle="1" w:styleId="OZnak">
    <w:name w:val="O Znak"/>
    <w:link w:val="O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RN">
    <w:name w:val="RN"/>
    <w:basedOn w:val="Navaden"/>
    <w:next w:val="Navaden"/>
    <w:rPr>
      <w:bCs/>
      <w:color w:val="FF0000"/>
    </w:rPr>
  </w:style>
  <w:style w:type="paragraph" w:customStyle="1" w:styleId="RT">
    <w:name w:val="RT"/>
    <w:basedOn w:val="Navaden"/>
    <w:next w:val="Navaden"/>
  </w:style>
  <w:style w:type="paragraph" w:customStyle="1" w:styleId="RTA">
    <w:name w:val="RTA"/>
    <w:basedOn w:val="Navaden"/>
    <w:next w:val="Navaden"/>
    <w:pPr>
      <w:jc w:val="right"/>
    </w:pPr>
    <w:rPr>
      <w:iCs/>
    </w:rPr>
  </w:style>
  <w:style w:type="paragraph" w:customStyle="1" w:styleId="S">
    <w:name w:val="S"/>
    <w:basedOn w:val="Navaden"/>
    <w:next w:val="Navaden"/>
    <w:rPr>
      <w:color w:val="538135"/>
    </w:rPr>
  </w:style>
  <w:style w:type="paragraph" w:customStyle="1" w:styleId="U">
    <w:name w:val="U"/>
    <w:basedOn w:val="Navaden"/>
    <w:next w:val="Navaden"/>
    <w:rPr>
      <w:color w:val="800080"/>
    </w:rPr>
  </w:style>
  <w:style w:type="paragraph" w:customStyle="1" w:styleId="V">
    <w:name w:val="V"/>
    <w:basedOn w:val="Navaden"/>
    <w:next w:val="Navaden"/>
    <w:rPr>
      <w:bCs/>
      <w:iCs/>
      <w:color w:val="833C0B" w:themeColor="accent2" w:themeShade="80"/>
    </w:rPr>
  </w:style>
  <w:style w:type="paragraph" w:customStyle="1" w:styleId="P">
    <w:name w:val="P"/>
    <w:basedOn w:val="Navaden"/>
    <w:next w:val="Navaden"/>
    <w:rPr>
      <w:bCs/>
      <w:color w:val="833C0B"/>
    </w:rPr>
  </w:style>
  <w:style w:type="paragraph" w:customStyle="1" w:styleId="c1">
    <w:name w:val="c1"/>
    <w:basedOn w:val="Navaden"/>
    <w:pPr>
      <w:spacing w:before="48" w:after="12"/>
      <w:ind w:left="12" w:right="12"/>
    </w:pPr>
    <w:rPr>
      <w:color w:val="222222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sl-SI"/>
    </w:rPr>
  </w:style>
  <w:style w:type="paragraph" w:customStyle="1" w:styleId="DMT">
    <w:name w:val="DMT"/>
    <w:basedOn w:val="T"/>
    <w:next w:val="T"/>
    <w:rPr>
      <w:i/>
      <w:iCs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h4">
    <w:name w:val="h4"/>
    <w:basedOn w:val="Navaden"/>
    <w:pPr>
      <w:spacing w:before="240" w:after="180"/>
      <w:ind w:left="12" w:right="12"/>
      <w:jc w:val="center"/>
    </w:pPr>
    <w:rPr>
      <w:b/>
      <w:bCs/>
      <w:color w:val="222222"/>
      <w:sz w:val="22"/>
      <w:szCs w:val="22"/>
    </w:rPr>
  </w:style>
  <w:style w:type="paragraph" w:customStyle="1" w:styleId="Kn">
    <w:name w:val="Kn"/>
    <w:basedOn w:val="T"/>
    <w:next w:val="T"/>
    <w:rPr>
      <w:b/>
      <w:bCs/>
      <w:sz w:val="28"/>
      <w:szCs w:val="28"/>
    </w:rPr>
  </w:style>
  <w:style w:type="paragraph" w:customStyle="1" w:styleId="Kn1">
    <w:name w:val="Kn1"/>
    <w:basedOn w:val="T"/>
    <w:next w:val="T"/>
    <w:rPr>
      <w:sz w:val="28"/>
      <w:szCs w:val="28"/>
    </w:rPr>
  </w:style>
  <w:style w:type="character" w:styleId="Krepko">
    <w:name w:val="Strong"/>
    <w:aliases w:val="Na24"/>
    <w:rPr>
      <w:b/>
      <w:color w:val="auto"/>
    </w:rPr>
  </w:style>
  <w:style w:type="paragraph" w:customStyle="1" w:styleId="Ltab">
    <w:name w:val="Ltab"/>
    <w:basedOn w:val="Navaden"/>
    <w:semiHidden/>
  </w:style>
  <w:style w:type="paragraph" w:customStyle="1" w:styleId="Ltext">
    <w:name w:val="Ltext"/>
    <w:basedOn w:val="Navaden"/>
    <w:semiHidden/>
  </w:style>
  <w:style w:type="paragraph" w:customStyle="1" w:styleId="navaden1">
    <w:name w:val="navaden1"/>
    <w:basedOn w:val="Navaden"/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Odstavekseznama1">
    <w:name w:val="Odstavek seznama1"/>
    <w:basedOn w:val="Navaden"/>
    <w:pPr>
      <w:suppressAutoHyphens/>
      <w:ind w:left="720"/>
      <w:contextualSpacing/>
    </w:pPr>
    <w:rPr>
      <w:lang w:eastAsia="ar-SA"/>
    </w:rPr>
  </w:style>
  <w:style w:type="paragraph" w:customStyle="1" w:styleId="p0">
    <w:name w:val="p"/>
    <w:basedOn w:val="Navaden"/>
    <w:pPr>
      <w:spacing w:before="48" w:after="12"/>
      <w:ind w:left="12" w:right="12" w:firstLine="240"/>
    </w:pPr>
    <w:rPr>
      <w:color w:val="222222"/>
      <w:sz w:val="22"/>
      <w:szCs w:val="22"/>
    </w:rPr>
  </w:style>
  <w:style w:type="paragraph" w:customStyle="1" w:styleId="Pa0">
    <w:name w:val="Pa0"/>
    <w:basedOn w:val="Navaden"/>
    <w:next w:val="Navaden"/>
    <w:pPr>
      <w:autoSpaceDE w:val="0"/>
      <w:autoSpaceDN w:val="0"/>
      <w:adjustRightInd w:val="0"/>
      <w:spacing w:line="201" w:lineRule="atLeast"/>
    </w:pPr>
  </w:style>
  <w:style w:type="paragraph" w:styleId="Podnaslov">
    <w:name w:val="Subtitle"/>
    <w:basedOn w:val="Navaden"/>
    <w:next w:val="Navaden"/>
    <w:link w:val="PodnaslovZnak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PodnaslovZnak">
    <w:name w:val="Podnaslov Znak"/>
    <w:link w:val="Podnaslov"/>
    <w:rPr>
      <w:rFonts w:ascii="Cambria" w:eastAsia="Times New Roman" w:hAnsi="Cambria" w:cs="Times New Roman"/>
      <w:sz w:val="24"/>
      <w:szCs w:val="24"/>
      <w:lang w:eastAsia="sl-SI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link w:val="Pripombabesedilo"/>
    <w:semiHidden/>
    <w:rPr>
      <w:rFonts w:ascii="Arial" w:eastAsia="Times New Roman" w:hAnsi="Arial" w:cs="Arial"/>
      <w:sz w:val="24"/>
      <w:szCs w:val="24"/>
      <w:lang w:eastAsia="sl-SI"/>
    </w:rPr>
  </w:style>
  <w:style w:type="paragraph" w:customStyle="1" w:styleId="RPT">
    <w:name w:val="RPT"/>
    <w:basedOn w:val="T"/>
    <w:next w:val="T"/>
    <w:rPr>
      <w:i/>
      <w:iCs/>
    </w:rPr>
  </w:style>
  <w:style w:type="character" w:styleId="SledenaHiperpovezava">
    <w:name w:val="FollowedHyperlink"/>
    <w:rPr>
      <w:color w:val="800080"/>
      <w:u w:val="single"/>
    </w:rPr>
  </w:style>
  <w:style w:type="paragraph" w:customStyle="1" w:styleId="Slog1">
    <w:name w:val="Slog1"/>
    <w:basedOn w:val="Navaden"/>
    <w:semiHidden/>
    <w:pPr>
      <w:autoSpaceDE w:val="0"/>
      <w:autoSpaceDN w:val="0"/>
      <w:adjustRightInd w:val="0"/>
    </w:pPr>
    <w:rPr>
      <w:rFonts w:ascii="Stainless-Regular" w:hAnsi="Stainless-Regular" w:cs="Stainless-Regular"/>
    </w:rPr>
  </w:style>
  <w:style w:type="paragraph" w:customStyle="1" w:styleId="Style1">
    <w:name w:val="Style1"/>
    <w:basedOn w:val="Navaden"/>
    <w:pPr>
      <w:spacing w:before="80"/>
    </w:pPr>
    <w:rPr>
      <w:rFonts w:ascii="SL Swiss" w:hAnsi="SL Swiss"/>
      <w:b/>
      <w:smallCaps/>
      <w:lang w:val="en-GB"/>
    </w:rPr>
  </w:style>
  <w:style w:type="character" w:styleId="tevilkavrstice">
    <w:name w:val="line number"/>
    <w:basedOn w:val="Privzetapisavaodstavka"/>
  </w:style>
  <w:style w:type="paragraph" w:customStyle="1" w:styleId="TN">
    <w:name w:val="TN"/>
    <w:basedOn w:val="T"/>
    <w:next w:val="T"/>
  </w:style>
  <w:style w:type="paragraph" w:customStyle="1" w:styleId="TO">
    <w:name w:val="TO"/>
    <w:basedOn w:val="T"/>
    <w:link w:val="TOZnak"/>
    <w:qFormat/>
  </w:style>
  <w:style w:type="character" w:customStyle="1" w:styleId="TOZnak">
    <w:name w:val="TO Znak"/>
    <w:link w:val="TO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TT">
    <w:name w:val="TT"/>
    <w:basedOn w:val="T"/>
    <w:rPr>
      <w:caps/>
      <w:sz w:val="28"/>
      <w:szCs w:val="28"/>
    </w:rPr>
  </w:style>
  <w:style w:type="paragraph" w:customStyle="1" w:styleId="UR">
    <w:name w:val="UR"/>
    <w:basedOn w:val="U"/>
    <w:next w:val="U"/>
    <w:link w:val="URZnak"/>
    <w:qFormat/>
    <w:rPr>
      <w:color w:val="9A0000"/>
    </w:rPr>
  </w:style>
  <w:style w:type="character" w:customStyle="1" w:styleId="URZnak">
    <w:name w:val="UR Znak"/>
    <w:link w:val="UR"/>
    <w:rPr>
      <w:rFonts w:ascii="Arial" w:eastAsia="Times New Roman" w:hAnsi="Arial" w:cs="Arial"/>
      <w:color w:val="9A0000"/>
      <w:sz w:val="24"/>
      <w:szCs w:val="24"/>
      <w:lang w:eastAsia="sl-SI"/>
    </w:rPr>
  </w:style>
  <w:style w:type="paragraph" w:customStyle="1" w:styleId="Zav">
    <w:name w:val="Z_av"/>
    <w:basedOn w:val="Navaden"/>
    <w:next w:val="Navaden"/>
    <w:rPr>
      <w:iCs/>
    </w:rPr>
  </w:style>
  <w:style w:type="paragraph" w:customStyle="1" w:styleId="Zime">
    <w:name w:val="Z_ime"/>
    <w:basedOn w:val="Navaden"/>
    <w:next w:val="Navaden"/>
    <w:rPr>
      <w:caps/>
    </w:rPr>
  </w:style>
  <w:style w:type="paragraph" w:customStyle="1" w:styleId="Zpod">
    <w:name w:val="Z_pod"/>
    <w:basedOn w:val="Navaden"/>
    <w:autoRedefine/>
    <w:rPr>
      <w:kern w:val="24"/>
    </w:rPr>
  </w:style>
  <w:style w:type="paragraph" w:customStyle="1" w:styleId="Ztekst">
    <w:name w:val="Z_tekst"/>
    <w:basedOn w:val="Navaden"/>
    <w:rPr>
      <w:kern w:val="24"/>
    </w:rPr>
  </w:style>
  <w:style w:type="paragraph" w:customStyle="1" w:styleId="Ztext">
    <w:name w:val="Z_text"/>
    <w:basedOn w:val="Navaden"/>
    <w:autoRedefine/>
    <w:rPr>
      <w:kern w:val="24"/>
    </w:rPr>
  </w:style>
  <w:style w:type="paragraph" w:customStyle="1" w:styleId="Zverz">
    <w:name w:val="Z_verz"/>
    <w:basedOn w:val="Navaden"/>
    <w:rPr>
      <w:iCs/>
    </w:rPr>
  </w:style>
  <w:style w:type="paragraph" w:customStyle="1" w:styleId="Zzah">
    <w:name w:val="Z_zah"/>
    <w:basedOn w:val="T"/>
    <w:rPr>
      <w:bCs/>
      <w:caps/>
      <w:color w:val="767171"/>
      <w:kern w:val="24"/>
    </w:rPr>
  </w:style>
  <w:style w:type="paragraph" w:customStyle="1" w:styleId="Zverz0">
    <w:name w:val="Zverz"/>
    <w:basedOn w:val="Navaden"/>
    <w:rPr>
      <w:i/>
      <w:iCs/>
      <w:kern w:val="24"/>
    </w:rPr>
  </w:style>
  <w:style w:type="paragraph" w:customStyle="1" w:styleId="OK">
    <w:name w:val="OK"/>
    <w:basedOn w:val="Navaden"/>
    <w:next w:val="Navaden"/>
  </w:style>
  <w:style w:type="character" w:customStyle="1" w:styleId="MoZnak1">
    <w:name w:val="Mo Znak1"/>
    <w:link w:val="Mo"/>
    <w:locked/>
    <w:rPr>
      <w:rFonts w:ascii="Arial" w:eastAsia="Times New Roman" w:hAnsi="Arial" w:cs="Arial"/>
      <w:sz w:val="24"/>
      <w:szCs w:val="24"/>
      <w:lang w:eastAsia="sl-SI"/>
    </w:rPr>
  </w:style>
  <w:style w:type="character" w:customStyle="1" w:styleId="MRZnak">
    <w:name w:val="MR Znak"/>
    <w:link w:val="MR"/>
    <w:locked/>
    <w:rPr>
      <w:rFonts w:ascii="Arial" w:eastAsia="Times New Roman" w:hAnsi="Arial" w:cs="Arial"/>
      <w:color w:val="FF00FF"/>
      <w:sz w:val="24"/>
      <w:szCs w:val="24"/>
      <w:lang w:eastAsia="sl-SI"/>
    </w:rPr>
  </w:style>
  <w:style w:type="paragraph" w:customStyle="1" w:styleId="SlogRNLevo">
    <w:name w:val="Slog RN + Levo"/>
    <w:basedOn w:val="RN"/>
    <w:rPr>
      <w:bCs w:val="0"/>
    </w:rPr>
  </w:style>
  <w:style w:type="paragraph" w:styleId="Revizija">
    <w:name w:val="Revision"/>
    <w:hidden/>
    <w:uiPriority w:val="99"/>
    <w:semiHidden/>
    <w:pPr>
      <w:spacing w:after="0" w:line="240" w:lineRule="auto"/>
    </w:pPr>
    <w:rPr>
      <w:rFonts w:ascii="Arial" w:hAnsi="Arial"/>
      <w:sz w:val="24"/>
    </w:rPr>
  </w:style>
  <w:style w:type="paragraph" w:customStyle="1" w:styleId="Vitanjan">
    <w:name w:val="Vitanjčan"/>
    <w:qFormat/>
    <w:pPr>
      <w:spacing w:after="0" w:line="340" w:lineRule="exact"/>
      <w:jc w:val="both"/>
    </w:pPr>
    <w:rPr>
      <w:rFonts w:ascii="Arial" w:hAnsi="Arial" w:cs="Arial"/>
      <w:bCs/>
      <w:sz w:val="24"/>
      <w:szCs w:val="24"/>
    </w:rPr>
  </w:style>
  <w:style w:type="paragraph" w:styleId="Naslovnaslovnika">
    <w:name w:val="envelope address"/>
    <w:basedOn w:val="Navaden"/>
    <w:pPr>
      <w:framePr w:w="7920" w:h="1980" w:hRule="exact" w:hSpace="141" w:wrap="auto" w:hAnchor="page" w:xAlign="center" w:yAlign="bottom"/>
      <w:ind w:left="2880"/>
    </w:pPr>
    <w:rPr>
      <w:rFonts w:ascii="Monotype Corsiva" w:eastAsia="Times New Roman" w:hAnsi="Monotype Corsiva" w:cs="Arial"/>
      <w:i/>
      <w:color w:val="00336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7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tanje.si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vica.zerdoner@vitanj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ffa4e4-5831-41d0-99f0-143beb6195ed">
      <Terms xmlns="http://schemas.microsoft.com/office/infopath/2007/PartnerControls"/>
    </lcf76f155ced4ddcb4097134ff3c332f>
    <_Flow_SignoffStatus xmlns="19ffa4e4-5831-41d0-99f0-143beb6195ed" xsi:nil="true"/>
    <TaxKeywordTaxHTField xmlns="4dad500a-d178-4f10-a644-6ebb79f2930e">
      <Terms xmlns="http://schemas.microsoft.com/office/infopath/2007/PartnerControls"/>
    </TaxKeywordTaxHTField>
    <TaxCatchAll xmlns="4dad500a-d178-4f10-a644-6ebb79f293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7E3F8D9B966441B8FEA0F01D9001CB" ma:contentTypeVersion="23" ma:contentTypeDescription="Ustvari nov dokument." ma:contentTypeScope="" ma:versionID="6eb3ca223cc44e849c611cbf85372575">
  <xsd:schema xmlns:xsd="http://www.w3.org/2001/XMLSchema" xmlns:xs="http://www.w3.org/2001/XMLSchema" xmlns:p="http://schemas.microsoft.com/office/2006/metadata/properties" xmlns:ns2="19ffa4e4-5831-41d0-99f0-143beb6195ed" xmlns:ns3="4dad500a-d178-4f10-a644-6ebb79f2930e" targetNamespace="http://schemas.microsoft.com/office/2006/metadata/properties" ma:root="true" ma:fieldsID="4bf5294a14d840e52a3c4d297b4a9eb7" ns2:_="" ns3:_="">
    <xsd:import namespace="19ffa4e4-5831-41d0-99f0-143beb6195ed"/>
    <xsd:import namespace="4dad500a-d178-4f10-a644-6ebb79f293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TaxKeywordTaxHTField" minOccurs="0"/>
                <xsd:element ref="ns3:TaxCatchAll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fa4e4-5831-41d0-99f0-143beb6195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tanje odjave" ma:internalName="Stanje_x0020_odjav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Oznake slike" ma:readOnly="false" ma:fieldId="{5cf76f15-5ced-4ddc-b409-7134ff3c332f}" ma:taxonomyMulti="true" ma:sspId="6fad2deb-cbea-4c29-b461-155e604940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d500a-d178-4f10-a644-6ebb79f293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21" nillable="true" ma:taxonomy="true" ma:internalName="TaxKeywordTaxHTField" ma:taxonomyFieldName="TaxKeyword" ma:displayName="Ključne besede za podjetje" ma:fieldId="{23f27201-bee3-471e-b2e7-b64fd8b7ca38}" ma:taxonomyMulti="true" ma:sspId="6fad2deb-cbea-4c29-b461-155e6049408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2522ceb-99ed-42ef-89c1-440ce07b9290}" ma:internalName="TaxCatchAll" ma:showField="CatchAllData" ma:web="4dad500a-d178-4f10-a644-6ebb79f293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CBEBB1-093A-4E82-B290-25EEC5CE4F38}">
  <ds:schemaRefs>
    <ds:schemaRef ds:uri="http://purl.org/dc/dcmitype/"/>
    <ds:schemaRef ds:uri="http://purl.org/dc/elements/1.1/"/>
    <ds:schemaRef ds:uri="4dad500a-d178-4f10-a644-6ebb79f2930e"/>
    <ds:schemaRef ds:uri="http://schemas.microsoft.com/office/2006/documentManagement/types"/>
    <ds:schemaRef ds:uri="http://purl.org/dc/terms/"/>
    <ds:schemaRef ds:uri="19ffa4e4-5831-41d0-99f0-143beb6195ed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7790613-2F4F-4AE6-9124-5624F48EA0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4F64C-CC67-48CD-B5B1-29E2F6940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fa4e4-5831-41d0-99f0-143beb6195ed"/>
    <ds:schemaRef ds:uri="4dad500a-d178-4f10-a644-6ebb79f293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3175</Words>
  <Characters>18102</Characters>
  <Application>Microsoft Office Word</Application>
  <DocSecurity>0</DocSecurity>
  <Lines>150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Ivica Žerdoner</cp:lastModifiedBy>
  <cp:revision>3</cp:revision>
  <cp:lastPrinted>2024-09-20T08:25:00Z</cp:lastPrinted>
  <dcterms:created xsi:type="dcterms:W3CDTF">2026-03-12T12:38:00Z</dcterms:created>
  <dcterms:modified xsi:type="dcterms:W3CDTF">2026-03-31T12:11:00Z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0x0101003F7E3F8D9B966441B8FEA0F01D9001CB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